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cademic"/>
        <w:widowControl w:val="1"/>
        <w:spacing w:line="240" w:lineRule="auto"/>
      </w:pPr>
      <w:r>
        <w:rPr>
          <w:rtl w:val="0"/>
          <w:lang w:val="en-US"/>
        </w:rPr>
        <w:t xml:space="preserve">OMUL, OBIECTELE </w:t>
      </w:r>
      <w:r>
        <w:rPr>
          <w:rtl w:val="0"/>
          <w:lang w:val="en-US"/>
        </w:rPr>
        <w:t>Ș</w:t>
      </w:r>
      <w:r>
        <w:rPr>
          <w:rtl w:val="0"/>
          <w:lang w:val="en-US"/>
        </w:rPr>
        <w:t>I TIMPUL</w:t>
      </w:r>
    </w:p>
    <w:p>
      <w:pPr>
        <w:pStyle w:val="Academic"/>
        <w:widowControl w:val="1"/>
        <w:spacing w:line="240" w:lineRule="auto"/>
      </w:pPr>
    </w:p>
    <w:p>
      <w:pPr>
        <w:pStyle w:val="Body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Curs doctoral</w:t>
      </w:r>
    </w:p>
    <w:p>
      <w:pPr>
        <w:pStyle w:val="Body A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  <w:lang w:val="fr-FR"/>
        </w:rPr>
        <w:t>rof. univ. dr. Dragos Gheo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fr-FR"/>
        </w:rPr>
        <w:t>ghiu</w:t>
      </w:r>
    </w:p>
    <w:p>
      <w:pPr>
        <w:pStyle w:val="Body A"/>
        <w:jc w:val="both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rPr>
          <w:rStyle w:val="None"/>
          <w:rFonts w:ascii="Helvetica" w:cs="Helvetica" w:hAnsi="Helvetica" w:eastAsia="Helvetica"/>
          <w:sz w:val="22"/>
          <w:szCs w:val="22"/>
          <w:lang w:val="en-US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u w:val="single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u w:val="single"/>
          <w:lang w:val="en-US"/>
        </w:rPr>
        <w:instrText xml:space="preserve"> HYPERLINK "https://drive.google.com/drive/folders/1vKWRq729NE-8yBV4KChkxfeWQsBVwBYU?usp=sharin"</w:instrText>
      </w:r>
      <w:r>
        <w:rPr>
          <w:rStyle w:val="Hyperlink.0"/>
          <w:rFonts w:ascii="Helvetica" w:cs="Helvetica" w:hAnsi="Helvetica" w:eastAsia="Helvetica"/>
          <w:sz w:val="22"/>
          <w:szCs w:val="22"/>
          <w:u w:val="single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u w:val="single"/>
          <w:rtl w:val="0"/>
          <w:lang w:val="en-US"/>
        </w:rPr>
        <w:t>https://drive.google.com/drive/folders/1vKWRq729NE-8yBV4KChkxfeWQsBVwBYU?usp=sharin</w:t>
      </w:r>
      <w:r>
        <w:rPr>
          <w:lang w:val="en-US"/>
        </w:rPr>
        <w:fldChar w:fldCharType="end" w:fldLock="0"/>
      </w:r>
    </w:p>
    <w:p>
      <w:pPr>
        <w:pStyle w:val="Body A"/>
        <w:widowControl w:val="1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Primul semestru debuteaz</w:t>
      </w:r>
      <w:r>
        <w:rPr>
          <w:rStyle w:val="None"/>
          <w:sz w:val="24"/>
          <w:szCs w:val="24"/>
          <w:rtl w:val="0"/>
          <w:lang w:val="fr-FR"/>
        </w:rPr>
        <w:t xml:space="preserve">ă </w:t>
      </w:r>
      <w:r>
        <w:rPr>
          <w:rStyle w:val="None"/>
          <w:sz w:val="24"/>
          <w:szCs w:val="24"/>
          <w:rtl w:val="0"/>
          <w:lang w:val="fr-FR"/>
        </w:rPr>
        <w:t>cu studiile de antropologie si culturale din ultimele decenii ale sec. 20 prezent</w:t>
      </w:r>
      <w:r>
        <w:rPr>
          <w:rStyle w:val="None"/>
          <w:sz w:val="24"/>
          <w:szCs w:val="24"/>
          <w:rtl w:val="0"/>
          <w:lang w:val="fr-FR"/>
        </w:rPr>
        <w:t>â</w:t>
      </w:r>
      <w:r>
        <w:rPr>
          <w:rStyle w:val="None"/>
          <w:sz w:val="24"/>
          <w:szCs w:val="24"/>
          <w:rtl w:val="0"/>
          <w:lang w:val="fr-FR"/>
        </w:rPr>
        <w:t>nd problemele majore ale antropologiei culturale si ale antropologiei urbane. Se porne</w:t>
      </w:r>
      <w:r>
        <w:rPr>
          <w:rStyle w:val="None"/>
          <w:sz w:val="24"/>
          <w:szCs w:val="24"/>
          <w:rtl w:val="0"/>
          <w:lang w:val="fr-FR"/>
        </w:rPr>
        <w:t>ș</w:t>
      </w:r>
      <w:r>
        <w:rPr>
          <w:rStyle w:val="None"/>
          <w:sz w:val="24"/>
          <w:szCs w:val="24"/>
          <w:rtl w:val="0"/>
          <w:lang w:val="fr-FR"/>
        </w:rPr>
        <w:t>te de la conceptul de cultura  si se analizeaz</w:t>
      </w:r>
      <w:r>
        <w:rPr>
          <w:rStyle w:val="None"/>
          <w:sz w:val="24"/>
          <w:szCs w:val="24"/>
          <w:rtl w:val="0"/>
          <w:lang w:val="fr-FR"/>
        </w:rPr>
        <w:t xml:space="preserve">ă </w:t>
      </w:r>
      <w:r>
        <w:rPr>
          <w:rStyle w:val="None"/>
          <w:sz w:val="24"/>
          <w:szCs w:val="24"/>
          <w:rtl w:val="0"/>
          <w:lang w:val="fr-FR"/>
        </w:rPr>
        <w:t>via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 xml:space="preserve">a urbana </w:t>
      </w:r>
      <w:r>
        <w:rPr>
          <w:rStyle w:val="None"/>
          <w:sz w:val="24"/>
          <w:szCs w:val="24"/>
          <w:rtl w:val="0"/>
          <w:lang w:val="fr-FR"/>
        </w:rPr>
        <w:t>ș</w:t>
      </w:r>
      <w:r>
        <w:rPr>
          <w:rStyle w:val="None"/>
          <w:sz w:val="24"/>
          <w:szCs w:val="24"/>
          <w:rtl w:val="0"/>
          <w:lang w:val="fr-FR"/>
        </w:rPr>
        <w:t>i simbolismul ei.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Teme:</w:t>
      </w:r>
    </w:p>
    <w:p>
      <w:pPr>
        <w:pStyle w:val="Body A"/>
      </w:pPr>
      <w:r>
        <w:rPr>
          <w:rStyle w:val="None"/>
          <w:sz w:val="24"/>
          <w:szCs w:val="24"/>
          <w:rtl w:val="0"/>
          <w:lang w:val="fr-FR"/>
        </w:rPr>
        <w:t>1. Scurt istoric al antropologiei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 xml:space="preserve">2. Cultura </w:t>
      </w:r>
      <w:r>
        <w:rPr>
          <w:rStyle w:val="None"/>
          <w:sz w:val="24"/>
          <w:szCs w:val="24"/>
          <w:rtl w:val="0"/>
          <w:lang w:val="fr-FR"/>
        </w:rPr>
        <w:t>î</w:t>
      </w:r>
      <w:r>
        <w:rPr>
          <w:rStyle w:val="None"/>
          <w:sz w:val="24"/>
          <w:szCs w:val="24"/>
          <w:rtl w:val="0"/>
          <w:lang w:val="fr-FR"/>
        </w:rPr>
        <w:t>n accep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iune antropologica. Metoda antropologiei culturale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3. Procese culturale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4. Problema identit</w:t>
      </w:r>
      <w:r>
        <w:rPr>
          <w:rStyle w:val="None"/>
          <w:sz w:val="24"/>
          <w:szCs w:val="24"/>
          <w:rtl w:val="0"/>
          <w:lang w:val="fr-FR"/>
        </w:rPr>
        <w:t>ăț</w:t>
      </w:r>
      <w:r>
        <w:rPr>
          <w:rStyle w:val="None"/>
          <w:sz w:val="24"/>
          <w:szCs w:val="24"/>
          <w:rtl w:val="0"/>
          <w:lang w:val="fr-FR"/>
        </w:rPr>
        <w:t>ii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5. Strategii emice si etice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6. Antropologia urbana. Rolul cultural al ora</w:t>
      </w:r>
      <w:r>
        <w:rPr>
          <w:rStyle w:val="None"/>
          <w:sz w:val="24"/>
          <w:szCs w:val="24"/>
          <w:rtl w:val="0"/>
          <w:lang w:val="fr-FR"/>
        </w:rPr>
        <w:t>ș</w:t>
      </w:r>
      <w:r>
        <w:rPr>
          <w:rStyle w:val="None"/>
          <w:sz w:val="24"/>
          <w:szCs w:val="24"/>
          <w:rtl w:val="0"/>
          <w:lang w:val="fr-FR"/>
        </w:rPr>
        <w:t>elor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7. Consecin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ele culturale ale primei si ale celei de-a doua urbaniz</w:t>
      </w:r>
      <w:r>
        <w:rPr>
          <w:rStyle w:val="None"/>
          <w:sz w:val="24"/>
          <w:szCs w:val="24"/>
          <w:rtl w:val="0"/>
          <w:lang w:val="fr-FR"/>
        </w:rPr>
        <w:t>ă</w:t>
      </w:r>
      <w:r>
        <w:rPr>
          <w:rStyle w:val="None"/>
          <w:sz w:val="24"/>
          <w:szCs w:val="24"/>
          <w:rtl w:val="0"/>
          <w:lang w:val="fr-FR"/>
        </w:rPr>
        <w:t>ri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8. Apari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ia statului si a societ</w:t>
      </w:r>
      <w:r>
        <w:rPr>
          <w:rStyle w:val="None"/>
          <w:sz w:val="24"/>
          <w:szCs w:val="24"/>
          <w:rtl w:val="0"/>
          <w:lang w:val="fr-FR"/>
        </w:rPr>
        <w:t>ăț</w:t>
      </w:r>
      <w:r>
        <w:rPr>
          <w:rStyle w:val="None"/>
          <w:sz w:val="24"/>
          <w:szCs w:val="24"/>
          <w:rtl w:val="0"/>
          <w:lang w:val="fr-FR"/>
        </w:rPr>
        <w:t>ii urbane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9. Semnifica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ie si simbol in arhitectura.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10. Simbolurile si societatea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 xml:space="preserve">11. </w:t>
      </w:r>
      <w:r>
        <w:rPr>
          <w:rStyle w:val="None"/>
          <w:i w:val="1"/>
          <w:iCs w:val="1"/>
          <w:sz w:val="24"/>
          <w:szCs w:val="24"/>
          <w:rtl w:val="0"/>
          <w:lang w:val="es-ES_tradnl"/>
        </w:rPr>
        <w:t>Homo symbolicus</w:t>
      </w: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12. Antropomorfismul, un caz particular al simbolului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Al doilea semestru abordeaz</w:t>
      </w:r>
      <w:r>
        <w:rPr>
          <w:rStyle w:val="None"/>
          <w:sz w:val="24"/>
          <w:szCs w:val="24"/>
          <w:rtl w:val="0"/>
          <w:lang w:val="fr-FR"/>
        </w:rPr>
        <w:t xml:space="preserve">ă </w:t>
      </w:r>
      <w:r>
        <w:rPr>
          <w:rStyle w:val="None"/>
          <w:sz w:val="24"/>
          <w:szCs w:val="24"/>
          <w:rtl w:val="0"/>
          <w:lang w:val="fr-FR"/>
        </w:rPr>
        <w:t>problema contextelor (loc si spa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iu) din perspectiva puterii sociale, continu</w:t>
      </w:r>
      <w:r>
        <w:rPr>
          <w:rStyle w:val="None"/>
          <w:sz w:val="24"/>
          <w:szCs w:val="24"/>
          <w:rtl w:val="0"/>
          <w:lang w:val="fr-FR"/>
        </w:rPr>
        <w:t>â</w:t>
      </w:r>
      <w:r>
        <w:rPr>
          <w:rStyle w:val="None"/>
          <w:sz w:val="24"/>
          <w:szCs w:val="24"/>
          <w:rtl w:val="0"/>
          <w:lang w:val="fr-FR"/>
        </w:rPr>
        <w:t>nd apoi cu prezentarea produc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iei industriale de obiecte (design-ul), comportamentul uman creat de aceasta produc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it-IT"/>
        </w:rPr>
        <w:t>ie (hedonism, consumerism) si de c</w:t>
      </w:r>
      <w:r>
        <w:rPr>
          <w:rStyle w:val="None"/>
          <w:sz w:val="24"/>
          <w:szCs w:val="24"/>
          <w:rtl w:val="0"/>
          <w:lang w:val="fr-FR"/>
        </w:rPr>
        <w:t>ă</w:t>
      </w:r>
      <w:r>
        <w:rPr>
          <w:rStyle w:val="None"/>
          <w:sz w:val="24"/>
          <w:szCs w:val="24"/>
          <w:rtl w:val="0"/>
          <w:lang w:val="fr-FR"/>
        </w:rPr>
        <w:t>tre lumile virtuale (imersie) si se termina cu discutarea percep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fr-FR"/>
        </w:rPr>
        <w:t>iei timpului in societ</w:t>
      </w:r>
      <w:r>
        <w:rPr>
          <w:rStyle w:val="None"/>
          <w:sz w:val="24"/>
          <w:szCs w:val="24"/>
          <w:rtl w:val="0"/>
          <w:lang w:val="fr-FR"/>
        </w:rPr>
        <w:t>ăț</w:t>
      </w:r>
      <w:r>
        <w:rPr>
          <w:rStyle w:val="None"/>
          <w:sz w:val="24"/>
          <w:szCs w:val="24"/>
          <w:rtl w:val="0"/>
          <w:lang w:val="en-US"/>
        </w:rPr>
        <w:t>ile tradi</w:t>
      </w:r>
      <w:r>
        <w:rPr>
          <w:rStyle w:val="None"/>
          <w:sz w:val="24"/>
          <w:szCs w:val="24"/>
          <w:rtl w:val="0"/>
          <w:lang w:val="fr-FR"/>
        </w:rPr>
        <w:t>ț</w:t>
      </w:r>
      <w:r>
        <w:rPr>
          <w:rStyle w:val="None"/>
          <w:sz w:val="24"/>
          <w:szCs w:val="24"/>
          <w:rtl w:val="0"/>
          <w:lang w:val="it-IT"/>
        </w:rPr>
        <w:t>ionale si contemporane.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"/>
          <w:sz w:val="24"/>
          <w:szCs w:val="24"/>
          <w:rtl w:val="0"/>
          <w:lang w:val="fr-FR"/>
        </w:rPr>
        <w:t>Teme: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Despre loc si 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genius loci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Loc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putere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Putere si autoritate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Limbajul spa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iului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s-ES_tradnl"/>
        </w:rPr>
      </w:pPr>
      <w:r>
        <w:rPr>
          <w:rStyle w:val="None"/>
          <w:sz w:val="24"/>
          <w:szCs w:val="24"/>
          <w:rtl w:val="0"/>
          <w:lang w:val="es-ES_tradnl"/>
        </w:rPr>
        <w:t>Proxemica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Sistemul obiectelor. Designul in sec. 20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Designul si func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iile corpului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Consumerism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Hedonism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Despre utopie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Lumi virtuale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Realitate virtuala si realitate augmentata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Imersie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Timpul in societ</w:t>
      </w:r>
      <w:r>
        <w:rPr>
          <w:rStyle w:val="None"/>
          <w:sz w:val="24"/>
          <w:szCs w:val="24"/>
          <w:rtl w:val="0"/>
          <w:lang w:val="en-US"/>
        </w:rPr>
        <w:t>ăț</w:t>
      </w:r>
      <w:r>
        <w:rPr>
          <w:rStyle w:val="None"/>
          <w:sz w:val="24"/>
          <w:szCs w:val="24"/>
          <w:rtl w:val="0"/>
          <w:lang w:val="en-US"/>
        </w:rPr>
        <w:t>ile tradi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ionale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Timpul in lumea moderna</w:t>
      </w:r>
    </w:p>
    <w:p>
      <w:pPr>
        <w:pStyle w:val="Academic"/>
        <w:widowControl w:val="1"/>
        <w:spacing w:line="240" w:lineRule="auto"/>
        <w:rPr>
          <w:rStyle w:val="None"/>
          <w:lang w:val="it-IT"/>
        </w:rPr>
      </w:pPr>
      <w:r>
        <w:rPr>
          <w:rStyle w:val="None"/>
          <w:rtl w:val="0"/>
          <w:lang w:val="it-IT"/>
        </w:rPr>
        <w:t>BIBLIOGRAFIE</w:t>
      </w:r>
    </w:p>
    <w:p>
      <w:pPr>
        <w:pStyle w:val="Academic"/>
        <w:widowControl w:val="1"/>
        <w:spacing w:line="240" w:lineRule="auto"/>
        <w:rPr>
          <w:lang w:val="it-IT"/>
        </w:rPr>
      </w:pP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Levi-Strauss, C. 2011.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Antropologia si problemele lumii moderne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i: Polirom.</w:t>
      </w: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Copans, J. 1999.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Introducere in etnologie si antropologie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 : Polirom.</w:t>
      </w: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Mihailescu, V. 2007.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Antropologie. Cinci introduceri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i: Polirom.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Kottak, C.P. 1999.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Mirror for Humanity. A Concise Introduction to Cultural Anthropology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it-IT"/>
        </w:rPr>
        <w:t>Boston: McGraw Hill College.</w:t>
      </w: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Auge, M. 1995.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Religie si antropologie</w:t>
      </w:r>
      <w:r>
        <w:rPr>
          <w:rStyle w:val="None"/>
          <w:sz w:val="24"/>
          <w:szCs w:val="24"/>
          <w:rtl w:val="0"/>
          <w:lang w:val="it-IT"/>
        </w:rPr>
        <w:t>. Bucure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ti: Ed. Jurnalul Literar.</w:t>
      </w: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Van Gennep, A. 1996.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Riturile de trecere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i: Polirom.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Diamond, J. 2012.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The World until Yesterday. What we can Learn from Traditional Societies?</w:t>
      </w:r>
      <w:r>
        <w:rPr>
          <w:rStyle w:val="None"/>
          <w:sz w:val="24"/>
          <w:szCs w:val="24"/>
          <w:rtl w:val="0"/>
          <w:lang w:val="en-US"/>
        </w:rPr>
        <w:t xml:space="preserve"> Londra: Allen Lane.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Clifford, J. and Marcus, G. (eds.) 1986.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Writing Culture. The Poetics and Politics of Ethnography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it-IT"/>
        </w:rPr>
        <w:t>Berkeley: University of California Press.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Le Breton, D. 2009.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Antropologia corpului si modernitateta</w:t>
      </w:r>
      <w:r>
        <w:rPr>
          <w:rStyle w:val="None"/>
          <w:sz w:val="24"/>
          <w:szCs w:val="24"/>
          <w:rtl w:val="0"/>
          <w:lang w:val="it-IT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>Chi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in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u: Cartier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Pink, S. 2006.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The Future of Visual Anthropology. Engaging the Senses</w:t>
      </w:r>
      <w:r>
        <w:rPr>
          <w:rStyle w:val="None"/>
          <w:sz w:val="24"/>
          <w:szCs w:val="24"/>
          <w:rtl w:val="0"/>
          <w:lang w:val="en-US"/>
        </w:rPr>
        <w:t>. Londra: Routledge.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Schneider, A. and Wright, C. (eds.) 2006.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Contemporary Art and Anthropology</w:t>
      </w:r>
      <w:r>
        <w:rPr>
          <w:rStyle w:val="None"/>
          <w:sz w:val="24"/>
          <w:szCs w:val="24"/>
          <w:rtl w:val="0"/>
          <w:lang w:val="en-US"/>
        </w:rPr>
        <w:t>. Oxford: Berg.</w:t>
      </w:r>
    </w:p>
    <w:p>
      <w:pPr>
        <w:pStyle w:val="footnote text"/>
        <w:jc w:val="both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rtl w:val="0"/>
          <w:lang w:val="fr-FR"/>
        </w:rPr>
        <w:t xml:space="preserve">Auge, M. 1992. 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Non-lieux. Introduction a une anthropologie de la surmodernit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None"/>
          <w:sz w:val="24"/>
          <w:szCs w:val="24"/>
          <w:rtl w:val="0"/>
          <w:lang w:val="fr-FR"/>
        </w:rPr>
        <w:t>. Paris : Seuil.</w:t>
      </w:r>
    </w:p>
    <w:p>
      <w:pPr>
        <w:pStyle w:val="footnote text"/>
        <w:jc w:val="both"/>
        <w:rPr>
          <w:rStyle w:val="None"/>
          <w:sz w:val="24"/>
          <w:szCs w:val="24"/>
          <w:lang w:val="fr-FR"/>
        </w:rPr>
      </w:pPr>
      <w:r>
        <w:rPr>
          <w:rStyle w:val="None"/>
          <w:sz w:val="24"/>
          <w:szCs w:val="24"/>
          <w:rtl w:val="0"/>
          <w:lang w:val="fr-FR"/>
        </w:rPr>
        <w:t xml:space="preserve">Godelier, M. 2015. 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L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imagine, l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imaginaire &amp; le symbolique</w:t>
      </w:r>
      <w:r>
        <w:rPr>
          <w:rStyle w:val="None"/>
          <w:sz w:val="24"/>
          <w:szCs w:val="24"/>
          <w:rtl w:val="0"/>
          <w:lang w:val="fr-FR"/>
        </w:rPr>
        <w:t>. Paris : CNRS Editions.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Choay, F. 2011.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Pentru o antropologie a spatiului</w:t>
      </w:r>
      <w:r>
        <w:rPr>
          <w:rStyle w:val="None"/>
          <w:sz w:val="24"/>
          <w:szCs w:val="24"/>
          <w:rtl w:val="0"/>
          <w:lang w:val="it-IT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>Bucure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ti: Urbanismul.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Stiegler, B. 1998.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Technics and Time, 1. The Fault of Epimetheus</w:t>
      </w:r>
      <w:r>
        <w:rPr>
          <w:rStyle w:val="None"/>
          <w:sz w:val="24"/>
          <w:szCs w:val="24"/>
          <w:rtl w:val="0"/>
          <w:lang w:val="en-US"/>
        </w:rPr>
        <w:t>. Stanford: Stanford University Press.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Sudjic, D. 2009.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The Language of Things</w:t>
      </w:r>
      <w:r>
        <w:rPr>
          <w:rStyle w:val="None"/>
          <w:sz w:val="24"/>
          <w:szCs w:val="24"/>
          <w:rtl w:val="0"/>
          <w:lang w:val="en-US"/>
        </w:rPr>
        <w:t>. Londra: Penguin.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Miller, D. 1987.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Material Culture and Mass Consumption</w:t>
      </w:r>
      <w:r>
        <w:rPr>
          <w:rStyle w:val="None"/>
          <w:sz w:val="24"/>
          <w:szCs w:val="24"/>
          <w:rtl w:val="0"/>
          <w:lang w:val="en-US"/>
        </w:rPr>
        <w:t>. Oxford: Blackwell.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fr-FR"/>
        </w:rPr>
        <w:t xml:space="preserve">Marcus, S. 2010. 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 xml:space="preserve">Paradigme universale IV.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Timpul</w:t>
      </w:r>
      <w:r>
        <w:rPr>
          <w:rStyle w:val="None"/>
          <w:sz w:val="24"/>
          <w:szCs w:val="24"/>
          <w:rtl w:val="0"/>
          <w:lang w:val="it-IT"/>
        </w:rPr>
        <w:t>. Pite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ti: Paralela 45.</w:t>
      </w:r>
    </w:p>
    <w:p>
      <w:pPr>
        <w:pStyle w:val="footnote text"/>
        <w:jc w:val="both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 xml:space="preserve">Lipovetsky, G. 2007.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Fericirea paradoxala. Eseu asupra societatii de hiperconsum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i: Polirom.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Maffesoli, M. 2008.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Revr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ă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jirea lumii. O etica pentru timpurile noastre</w:t>
      </w:r>
      <w:r>
        <w:rPr>
          <w:rStyle w:val="None"/>
          <w:sz w:val="24"/>
          <w:szCs w:val="24"/>
          <w:rtl w:val="0"/>
          <w:lang w:val="it-IT"/>
        </w:rPr>
        <w:t xml:space="preserve">. </w:t>
      </w:r>
      <w:r>
        <w:rPr>
          <w:rStyle w:val="None"/>
          <w:sz w:val="24"/>
          <w:szCs w:val="24"/>
          <w:rtl w:val="0"/>
          <w:lang w:val="en-US"/>
        </w:rPr>
        <w:t>Ia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i: Institutul European.</w:t>
      </w:r>
    </w:p>
    <w:p>
      <w:pPr>
        <w:pStyle w:val="footnote text"/>
        <w:jc w:val="both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Gell, A. 1998.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Art and Agency. An Anthropological Theory</w:t>
      </w:r>
      <w:r>
        <w:rPr>
          <w:rStyle w:val="None"/>
          <w:sz w:val="24"/>
          <w:szCs w:val="24"/>
          <w:rtl w:val="0"/>
          <w:lang w:val="en-US"/>
        </w:rPr>
        <w:t>. Oxford: Clarendon Press.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Baudrillard, J. 1996. </w:t>
      </w:r>
      <w:r>
        <w:rPr>
          <w:rStyle w:val="None"/>
          <w:i w:val="1"/>
          <w:iCs w:val="1"/>
          <w:sz w:val="24"/>
          <w:szCs w:val="24"/>
          <w:rtl w:val="0"/>
          <w:lang w:val="it-IT"/>
        </w:rPr>
        <w:t>Strategiile fatale</w:t>
      </w:r>
      <w:r>
        <w:rPr>
          <w:rStyle w:val="None"/>
          <w:sz w:val="24"/>
          <w:szCs w:val="24"/>
          <w:rtl w:val="0"/>
          <w:lang w:val="it-IT"/>
        </w:rPr>
        <w:t>. Ia</w:t>
      </w:r>
      <w:r>
        <w:rPr>
          <w:rStyle w:val="None"/>
          <w:sz w:val="24"/>
          <w:szCs w:val="24"/>
          <w:rtl w:val="0"/>
          <w:lang w:val="it-IT"/>
        </w:rPr>
        <w:t>ș</w:t>
      </w:r>
      <w:r>
        <w:rPr>
          <w:rStyle w:val="None"/>
          <w:sz w:val="24"/>
          <w:szCs w:val="24"/>
          <w:rtl w:val="0"/>
          <w:lang w:val="it-IT"/>
        </w:rPr>
        <w:t>i: Polirom.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Baudrillard, J. 1996.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Sistemul obiectelor</w:t>
      </w:r>
      <w:r>
        <w:rPr>
          <w:rStyle w:val="None"/>
          <w:sz w:val="24"/>
          <w:szCs w:val="24"/>
          <w:rtl w:val="0"/>
          <w:lang w:val="en-US"/>
        </w:rPr>
        <w:t>. Cluj: Echinox.</w:t>
      </w:r>
    </w:p>
    <w:p>
      <w:pPr>
        <w:pStyle w:val="footnote text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Morus, I. R. (ed.) 2002.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Bodies/Machines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  <w:r>
        <w:rPr>
          <w:rStyle w:val="None"/>
          <w:sz w:val="24"/>
          <w:szCs w:val="24"/>
          <w:rtl w:val="0"/>
          <w:lang w:val="fr-FR"/>
        </w:rPr>
        <w:t>Oxford: Berg.</w:t>
      </w:r>
    </w:p>
    <w:p>
      <w:pPr>
        <w:pStyle w:val="footnote text"/>
        <w:jc w:val="both"/>
      </w:pPr>
      <w:r>
        <w:rPr>
          <w:rStyle w:val="None"/>
          <w:sz w:val="24"/>
          <w:szCs w:val="24"/>
          <w:rtl w:val="0"/>
          <w:lang w:val="fr-FR"/>
        </w:rPr>
        <w:t>J</w:t>
      </w:r>
      <w:r>
        <w:rPr>
          <w:rStyle w:val="None"/>
          <w:sz w:val="24"/>
          <w:szCs w:val="24"/>
          <w:rtl w:val="0"/>
          <w:lang w:val="fr-FR"/>
        </w:rPr>
        <w:t>ü</w:t>
      </w:r>
      <w:r>
        <w:rPr>
          <w:rStyle w:val="None"/>
          <w:sz w:val="24"/>
          <w:szCs w:val="24"/>
          <w:rtl w:val="0"/>
          <w:lang w:val="fr-FR"/>
        </w:rPr>
        <w:t xml:space="preserve">nger, E. 2018. </w:t>
      </w:r>
      <w:r>
        <w:rPr>
          <w:rStyle w:val="None"/>
          <w:i w:val="1"/>
          <w:iCs w:val="1"/>
          <w:sz w:val="24"/>
          <w:szCs w:val="24"/>
          <w:rtl w:val="0"/>
          <w:lang w:val="fr-FR"/>
        </w:rPr>
        <w:t>Cartea ceasului de nisip</w:t>
      </w:r>
      <w:r>
        <w:rPr>
          <w:rStyle w:val="None"/>
          <w:sz w:val="24"/>
          <w:szCs w:val="24"/>
          <w:rtl w:val="0"/>
          <w:lang w:val="fr-FR"/>
        </w:rPr>
        <w:t>. Bucure</w:t>
      </w:r>
      <w:r>
        <w:rPr>
          <w:rStyle w:val="None"/>
          <w:sz w:val="24"/>
          <w:szCs w:val="24"/>
          <w:rtl w:val="0"/>
          <w:lang w:val="fr-FR"/>
        </w:rPr>
        <w:t>ș</w:t>
      </w:r>
      <w:r>
        <w:rPr>
          <w:rStyle w:val="None"/>
          <w:sz w:val="24"/>
          <w:szCs w:val="24"/>
          <w:rtl w:val="0"/>
          <w:lang w:val="fr-FR"/>
        </w:rPr>
        <w:t>ti: Humanitas.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cademic">
    <w:name w:val="Academic"/>
    <w:next w:val="Academic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2"/>
      <w:szCs w:val="22"/>
      <w:u w:val="singl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